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微软雅黑" w:hAnsi="微软雅黑" w:eastAsia="宋体" w:cs="宋体"/>
          <w:b/>
          <w:bCs/>
          <w:color w:val="000000"/>
          <w:kern w:val="0"/>
          <w:sz w:val="42"/>
          <w:szCs w:val="42"/>
        </w:rPr>
      </w:pPr>
      <w:r>
        <w:rPr>
          <w:rFonts w:ascii="微软雅黑" w:hAnsi="微软雅黑" w:eastAsia="宋体" w:cs="宋体"/>
          <w:b/>
          <w:bCs/>
          <w:color w:val="000000"/>
          <w:kern w:val="0"/>
          <w:sz w:val="42"/>
          <w:szCs w:val="42"/>
        </w:rPr>
        <w:t>中国“互联网+”大学生创新创业大赛</w:t>
      </w:r>
      <w:r>
        <w:rPr>
          <w:rFonts w:hint="eastAsia" w:ascii="微软雅黑" w:hAnsi="微软雅黑" w:eastAsia="宋体" w:cs="宋体"/>
          <w:b/>
          <w:bCs/>
          <w:color w:val="000000"/>
          <w:kern w:val="0"/>
          <w:sz w:val="42"/>
          <w:szCs w:val="42"/>
          <w:lang w:val="en-US" w:eastAsia="zh-CN"/>
        </w:rPr>
        <w:t>省级项目</w:t>
      </w:r>
      <w:bookmarkStart w:id="0" w:name="_GoBack"/>
      <w:bookmarkEnd w:id="0"/>
      <w:r>
        <w:rPr>
          <w:rFonts w:hint="eastAsia" w:ascii="微软雅黑" w:hAnsi="微软雅黑" w:eastAsia="宋体" w:cs="宋体"/>
          <w:b/>
          <w:bCs/>
          <w:color w:val="000000"/>
          <w:kern w:val="0"/>
          <w:sz w:val="42"/>
          <w:szCs w:val="42"/>
          <w:lang w:val="en-US" w:eastAsia="zh-CN"/>
        </w:rPr>
        <w:t>选拔赛</w:t>
      </w:r>
      <w:r>
        <w:rPr>
          <w:rFonts w:ascii="微软雅黑" w:hAnsi="微软雅黑" w:eastAsia="宋体" w:cs="宋体"/>
          <w:b/>
          <w:bCs/>
          <w:color w:val="000000"/>
          <w:kern w:val="0"/>
          <w:sz w:val="42"/>
          <w:szCs w:val="42"/>
        </w:rPr>
        <w:t>评审规则</w:t>
      </w:r>
    </w:p>
    <w:p>
      <w:pPr>
        <w:widowControl/>
        <w:jc w:val="center"/>
        <w:outlineLvl w:val="1"/>
        <w:rPr>
          <w:rFonts w:ascii="微软雅黑" w:hAnsi="微软雅黑" w:eastAsia="宋体" w:cs="宋体"/>
          <w:b/>
          <w:bCs/>
          <w:color w:val="000000"/>
          <w:kern w:val="0"/>
          <w:sz w:val="42"/>
          <w:szCs w:val="42"/>
        </w:rPr>
      </w:pPr>
    </w:p>
    <w:p>
      <w:pPr>
        <w:widowControl/>
        <w:jc w:val="center"/>
        <w:outlineLvl w:val="1"/>
        <w:rPr>
          <w:rFonts w:hint="default" w:ascii="微软雅黑" w:hAnsi="微软雅黑" w:eastAsia="宋体" w:cs="宋体"/>
          <w:b/>
          <w:bCs/>
          <w:color w:val="000000"/>
          <w:kern w:val="0"/>
          <w:sz w:val="42"/>
          <w:szCs w:val="42"/>
          <w:lang w:val="en-US" w:eastAsia="zh-CN"/>
        </w:rPr>
      </w:pPr>
      <w:r>
        <w:rPr>
          <w:rFonts w:hint="eastAsia" w:ascii="微软雅黑" w:hAnsi="微软雅黑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高教赛道评审规则</w:t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宋体" w:cs="宋体"/>
          <w:color w:val="595757"/>
          <w:kern w:val="0"/>
          <w:szCs w:val="21"/>
        </w:rPr>
      </w:pPr>
      <w:r>
        <w:rPr>
          <w:rFonts w:hint="eastAsia" w:ascii="黑体" w:hAnsi="黑体" w:eastAsia="黑体" w:cs="宋体"/>
          <w:color w:val="595757"/>
          <w:kern w:val="0"/>
          <w:sz w:val="32"/>
          <w:szCs w:val="32"/>
        </w:rPr>
        <w:t>高教主赛道创意组项目评审要点</w:t>
      </w:r>
    </w:p>
    <w:tbl>
      <w:tblPr>
        <w:tblStyle w:val="3"/>
        <w:tblW w:w="1000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7513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创新性</w:t>
            </w:r>
          </w:p>
        </w:tc>
        <w:tc>
          <w:tcPr>
            <w:tcW w:w="7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突出原始创新和技术突破的价值，不鼓励模仿。在商业模式、产品服务、管理运营、市场营销、工艺流程、应用场景等方面寻求突破和创新。鼓励项目与高校科技成果转移转化相结合，取得一定数量和质量的创新成果（专利、创新奖励、行业认可等）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团队情况</w:t>
            </w:r>
          </w:p>
        </w:tc>
        <w:tc>
          <w:tcPr>
            <w:tcW w:w="7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团队成员的教育和工作背景、创新思想、价值观念、分工协作和能力互补情况。项目拟成立公司的组织构架、股权结构与人员配置安排合理。创业顾问、潜在投资人以及战略合作伙伴等外部资源的使用计划和有关情况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商业性</w:t>
            </w:r>
          </w:p>
        </w:tc>
        <w:tc>
          <w:tcPr>
            <w:tcW w:w="7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商业模式设计完整、可行，项目盈利能力推导过程合理。在商业机会识别与利用、竞争与合作、技术基础、产品或服务设计、资金及人员需求、现行法律法规限制等方面具有可行性。行业调查研究深入详实，项目市场、技术等调查工作形成一手资料，强调田野调查和实际操作检验。项目目标市场容量及市场前景，未来对相关产业升级或颠覆的可能性，近期融资需求及资金使用规划是否合理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7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项目发展战略和规模扩张策略的合理性和可行性，预判项目可能带动社会就业的能力。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10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 w:clear="all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宋体" w:cs="宋体"/>
          <w:color w:val="595757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color w:val="595757"/>
          <w:kern w:val="0"/>
          <w:sz w:val="36"/>
        </w:rPr>
        <w:t>红旅赛道评审规则</w:t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宋体" w:cs="宋体"/>
          <w:color w:val="595757"/>
          <w:kern w:val="0"/>
          <w:szCs w:val="21"/>
        </w:rPr>
      </w:pPr>
      <w:r>
        <w:rPr>
          <w:rFonts w:hint="eastAsia" w:ascii="黑体" w:hAnsi="黑体" w:eastAsia="黑体" w:cs="宋体"/>
          <w:color w:val="595757"/>
          <w:kern w:val="0"/>
          <w:sz w:val="32"/>
          <w:szCs w:val="32"/>
        </w:rPr>
        <w:t>一、红旅赛道公益组项目评审要点</w:t>
      </w:r>
    </w:p>
    <w:tbl>
      <w:tblPr>
        <w:tblStyle w:val="3"/>
        <w:tblW w:w="90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6237"/>
        <w:gridCol w:w="10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评审要点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公益性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项目以社会价值为导向，以解决社会问题为使命，不以营利为目的，有可预见的公益成果，公益受众的覆盖面广。在公益服务领域有良好产品或服务模式。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项目团队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团队成员的基本素质、业务能力、奉献意愿和价值观与项目需求相匹配；团队或公司组织架构与分工协作合理；团队权益结构或公司股权结构合理；团队的延续性或接替性。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实效性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项目对精准扶贫、乡村振兴和社区治理等社会问题的贡献度；在引入社会资源方面对农村组织和农民增收、地方产业结构优化的效果；项目对促进就业、教育、医疗、养老、环境保护与生态建设等方面的效果。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创新性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鼓励技术或服务创新、引入或运用新技术，鼓励高校科研成果转化；鼓励组织模式创新或进行资源整合。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可持续性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项目的持续生存能力；创新研发、生产销售、资源整合等持续运营能力；项目模式可复制、可推广、具有示范效应等。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必要条件</w:t>
            </w:r>
          </w:p>
        </w:tc>
        <w:tc>
          <w:tcPr>
            <w:tcW w:w="7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参加由学校、省市或全国组织的“青年红色筑梦之旅”活动，符合公益性要求。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 w:clear="all"/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宋体" w:cs="宋体"/>
          <w:color w:val="595757"/>
          <w:kern w:val="0"/>
          <w:szCs w:val="21"/>
        </w:rPr>
      </w:pPr>
      <w:r>
        <w:rPr>
          <w:rFonts w:hint="eastAsia" w:ascii="黑体" w:hAnsi="黑体" w:eastAsia="黑体" w:cs="宋体"/>
          <w:color w:val="595757"/>
          <w:kern w:val="0"/>
          <w:sz w:val="32"/>
          <w:szCs w:val="32"/>
        </w:rPr>
        <w:t>二、红旅赛道商业组项目评审要点</w:t>
      </w:r>
    </w:p>
    <w:tbl>
      <w:tblPr>
        <w:tblStyle w:val="3"/>
        <w:tblW w:w="899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6237"/>
        <w:gridCol w:w="11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评审要点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项目团队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团队成员的基本素质、业务能力、奉献意愿和价值观与项目需求相匹配；团队或公司组织架构与分工协作合理；团队权益结构或公司股权结构合理。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实效性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项目对精准扶贫、乡村振兴和社区治理等社会问题的贡献度；在引入社会资源方面对农村组织和农民增收、地方产业结构优化的效果；项目对促进就业、教育、医疗、养老、环境保护与生态建设等方面的效果。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创新性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鼓励技术或服务创新、引入或运用新技术，鼓励高校科研成果转化；鼓励在生产、服务、营销等商业模式要素上创新；鼓励组织模式创新或进行资源整合。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  <w:jc w:val="center"/>
        </w:trPr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可持续性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项目的持续生存能力；经济价值和社会价值适度融合；创新研发、生产销售、资源整合等持续运营能力；项目模式可复制、可推广等。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  <w:jc w:val="center"/>
        </w:trPr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项目发展战略和规模扩张策略的合理性和可行性，项目实际带动的直接就业人数，考察项目未来持续带动就业的能力。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必要条件</w:t>
            </w:r>
          </w:p>
        </w:tc>
        <w:tc>
          <w:tcPr>
            <w:tcW w:w="7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参加由学校、省市或全国组织的“青年红色筑梦之旅”活动。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 w:clear="all"/>
      </w:r>
    </w:p>
    <w:p>
      <w:pPr>
        <w:widowControl/>
        <w:shd w:val="clear" w:color="auto" w:fill="FFFFFF"/>
        <w:jc w:val="center"/>
        <w:rPr>
          <w:rFonts w:ascii="微软雅黑" w:hAnsi="微软雅黑" w:eastAsia="宋体" w:cs="宋体"/>
          <w:color w:val="595757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color w:val="595757"/>
          <w:kern w:val="0"/>
          <w:sz w:val="36"/>
        </w:rPr>
        <w:t>职教赛道评审规则</w:t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宋体" w:cs="宋体"/>
          <w:color w:val="595757"/>
          <w:kern w:val="0"/>
          <w:szCs w:val="21"/>
        </w:rPr>
      </w:pPr>
      <w:r>
        <w:rPr>
          <w:rFonts w:hint="eastAsia" w:ascii="黑体" w:hAnsi="黑体" w:eastAsia="黑体" w:cs="宋体"/>
          <w:color w:val="595757"/>
          <w:kern w:val="0"/>
          <w:sz w:val="32"/>
          <w:szCs w:val="32"/>
        </w:rPr>
        <w:t>一、职教赛道创意组项目评审要点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7308"/>
        <w:gridCol w:w="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评审要点</w:t>
            </w:r>
          </w:p>
        </w:tc>
        <w:tc>
          <w:tcPr>
            <w:tcW w:w="7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创新性</w:t>
            </w:r>
          </w:p>
        </w:tc>
        <w:tc>
          <w:tcPr>
            <w:tcW w:w="7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鼓励原始创意、创造；鼓励面向培养“大国工匠”与能工巧匠的创意与创新；项目体现产教融合模式创新、校企合作模式创新、工学一体模式创新；鼓励面向职业和岗位的创意及创新，侧重于加工工艺创新、实用技术创新、产品（技术）改良、应用性优化、民生类创意等。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团队情况</w:t>
            </w:r>
          </w:p>
        </w:tc>
        <w:tc>
          <w:tcPr>
            <w:tcW w:w="7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团队成员的教育和工作背景、创新思想、价值观念、分工协作和能力互补情况。项目拟成立公司的组织构架、股权结构与人员配置安排合理。创业顾问、潜在投资人以及战略合作伙伴等外部资源的使用计划和有关情况。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商业性</w:t>
            </w:r>
          </w:p>
        </w:tc>
        <w:tc>
          <w:tcPr>
            <w:tcW w:w="7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商业模式设计完整、可行，项目盈利能力推导过程合理。在商业机会识别与利用、竞争与合作、技术基础、产品或服务设计、资金及人员需求、现行法律法规限制等方面具有可行性。行业调查研究深入详实，项目市场、技术等调查工作形成一手资料，强调田野调查和实际操作检验。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7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项目发展战略和规模扩张策略的合理性和可行性，预判项目可能带动社会就业的能力。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10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 w:clear="all"/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宋体" w:cs="宋体"/>
          <w:color w:val="595757"/>
          <w:kern w:val="0"/>
          <w:szCs w:val="21"/>
        </w:rPr>
      </w:pPr>
      <w:r>
        <w:rPr>
          <w:rFonts w:hint="eastAsia" w:ascii="黑体" w:hAnsi="黑体" w:eastAsia="黑体" w:cs="宋体"/>
          <w:color w:val="595757"/>
          <w:kern w:val="0"/>
          <w:sz w:val="32"/>
          <w:szCs w:val="32"/>
        </w:rPr>
        <w:t>二、职教赛道创业组项目评审要点</w:t>
      </w:r>
    </w:p>
    <w:tbl>
      <w:tblPr>
        <w:tblStyle w:val="3"/>
        <w:tblW w:w="971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7233"/>
        <w:gridCol w:w="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评审要点</w:t>
            </w:r>
          </w:p>
        </w:tc>
        <w:tc>
          <w:tcPr>
            <w:tcW w:w="7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595757"/>
                <w:kern w:val="0"/>
                <w:sz w:val="30"/>
                <w:szCs w:val="30"/>
              </w:rPr>
              <w:t>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商业性</w:t>
            </w:r>
          </w:p>
        </w:tc>
        <w:tc>
          <w:tcPr>
            <w:tcW w:w="7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商业模式设计完整、可行，产品或者服务成熟度及市场认可度，已获外部投资情况。经营绩效方面，重点考察项目存续时间、营业收入、企业利润、持续盈利能力、市场份额、客户（用户）情况、税收上缴、投入与产出比等情况。成长性方面，重点考察项目目标市场容量大小及可扩展性，是否有合适的计划和可靠资源（人力资源、资金、技术等方面）支持其未来持续快速成长。现金流及融资方面，关注维持企业正常经营的现金流情况，以及企业融资需求及资金使用规划是否合理。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团队情况</w:t>
            </w:r>
          </w:p>
        </w:tc>
        <w:tc>
          <w:tcPr>
            <w:tcW w:w="7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团队成员的教育和工作背景、创新思想、价值观念、分工协作和能力互补情况，重点考察成员的投入程度。公司的组织构架、股权结构、人员配置以及激励制度合理。项目对创业顾问、投资人以及战略合作伙伴等外部资源的整合能力。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创新性</w:t>
            </w:r>
          </w:p>
        </w:tc>
        <w:tc>
          <w:tcPr>
            <w:tcW w:w="7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鼓励原始创意、创造；鼓励面向培养“大国工匠”与能工巧匠的创意与创新；项目体现产教融合模式创新、校企合作模式创新、工学一体模式创新；鼓励面向职业和岗位的创意及创新，侧重于加工工艺创新、实用技术创新、产品（技术）改良、应用性优化、民生类创意等。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7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atLeast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项目实际带动的直接就业人数，考察项目未来持续带动就业的能力。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微软雅黑" w:hAnsi="微软雅黑" w:eastAsia="宋体" w:cs="宋体"/>
                <w:color w:val="595757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95757"/>
                <w:kern w:val="0"/>
                <w:sz w:val="30"/>
                <w:szCs w:val="30"/>
              </w:rPr>
              <w:t>10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 w:clear="all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B5"/>
    <w:rsid w:val="002766B5"/>
    <w:rsid w:val="00512126"/>
    <w:rsid w:val="0053443F"/>
    <w:rsid w:val="00633453"/>
    <w:rsid w:val="00832B88"/>
    <w:rsid w:val="008772F6"/>
    <w:rsid w:val="00AB7C76"/>
    <w:rsid w:val="00C41CEF"/>
    <w:rsid w:val="00CA2F7F"/>
    <w:rsid w:val="00F16FF7"/>
    <w:rsid w:val="1B2E7628"/>
    <w:rsid w:val="45C6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标题 2 Char"/>
    <w:basedOn w:val="4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7">
    <w:name w:val="h2"/>
    <w:basedOn w:val="4"/>
    <w:uiPriority w:val="0"/>
  </w:style>
  <w:style w:type="paragraph" w:customStyle="1" w:styleId="8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702</Words>
  <Characters>4007</Characters>
  <Lines>33</Lines>
  <Paragraphs>9</Paragraphs>
  <TotalTime>8</TotalTime>
  <ScaleCrop>false</ScaleCrop>
  <LinksUpToDate>false</LinksUpToDate>
  <CharactersWithSpaces>4700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2020-01-06T07:29:00Z</dcterms:created>
  <dc:creator>Windows  10</dc:creator>
  <cp:lastModifiedBy>高建军</cp:lastModifiedBy>
  <dcterms:modified xsi:type="dcterms:W3CDTF">2020-06-08T00:44:09Z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